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bidi w:val="1"/>
        <w:spacing w:before="280" w:lineRule="auto"/>
        <w:jc w:val="center"/>
        <w:rPr/>
      </w:pPr>
      <w:bookmarkStart w:colFirst="0" w:colLast="0" w:name="_4cntlc256s1v" w:id="0"/>
      <w:bookmarkEnd w:id="0"/>
      <w:r w:rsidDel="00000000" w:rsidR="00000000" w:rsidRPr="00000000">
        <w:rPr>
          <w:rtl w:val="1"/>
        </w:rPr>
        <w:t xml:space="preserve">نموذج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ميزانية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عمومية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5durvgfrrux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شركة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…………..</w:t>
      </w:r>
    </w:p>
    <w:p w:rsidR="00000000" w:rsidDel="00000000" w:rsidP="00000000" w:rsidRDefault="00000000" w:rsidRPr="00000000" w14:paraId="00000003">
      <w:pPr>
        <w:pStyle w:val="Heading2"/>
        <w:bidi w:val="1"/>
        <w:spacing w:after="240" w:before="240" w:lineRule="auto"/>
        <w:rPr/>
      </w:pPr>
      <w:bookmarkStart w:colFirst="0" w:colLast="0" w:name="_c2fn38hdzhq0" w:id="2"/>
      <w:bookmarkEnd w:id="2"/>
      <w:r w:rsidDel="00000000" w:rsidR="00000000" w:rsidRPr="00000000">
        <w:rPr>
          <w:rtl w:val="1"/>
        </w:rPr>
        <w:t xml:space="preserve">الميزانية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العمومية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الأصول</w:t>
      </w:r>
    </w:p>
    <w:tbl>
      <w:tblPr>
        <w:tblStyle w:val="Table1"/>
        <w:bidiVisual w:val="1"/>
        <w:tblW w:w="50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495"/>
        <w:gridCol w:w="1560"/>
        <w:tblGridChange w:id="0">
          <w:tblGrid>
            <w:gridCol w:w="3495"/>
            <w:gridCol w:w="15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البند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المبلغ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ريال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الأصول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المتداولة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النقد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الصندوق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150,000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الحسابات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المدينة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100,000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المخزون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80,000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المصروفات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المدفوعة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مقدم</w:t>
            </w:r>
            <w:r w:rsidDel="00000000" w:rsidR="00000000" w:rsidRPr="00000000">
              <w:rPr>
                <w:rtl w:val="1"/>
              </w:rPr>
              <w:t xml:space="preserve">ً</w:t>
            </w:r>
            <w:r w:rsidDel="00000000" w:rsidR="00000000" w:rsidRPr="00000000">
              <w:rPr>
                <w:rtl w:val="1"/>
              </w:rPr>
              <w:t xml:space="preserve">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20,000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إجمالي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الأصول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المتداولة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bidi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350,000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الأصول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المتداولة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العقارات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500,000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الآلات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والمعدات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300,000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الأصول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غير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الملموسة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حقوق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ملكية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فكرية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50,000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إجمالي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الأصول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المتداولة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bidi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850,000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إجمالي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الأصول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bidi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1,200,000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1hrdvwdo0jx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dpyc9xgf9ad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1pa6ctesp28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ig846molvqx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zmvbryuc18m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الخصوم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وحقوق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الملكية</w:t>
      </w:r>
    </w:p>
    <w:tbl>
      <w:tblPr>
        <w:tblStyle w:val="Table2"/>
        <w:bidiVisual w:val="1"/>
        <w:tblW w:w="38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630"/>
        <w:gridCol w:w="1190"/>
        <w:tblGridChange w:id="0">
          <w:tblGrid>
            <w:gridCol w:w="2630"/>
            <w:gridCol w:w="11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البند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المبلغ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ريال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الخصوم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المتداولة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الحسابات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الدائنة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120,000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القروض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قصيرة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الأجل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80,000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المصروفات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المستحقة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50,000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إجمالي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الخصوم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المتداولة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bidi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250,000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الخصوم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طويلة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الأجل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القروض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طويلة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الأجل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400,000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السندات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150,000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إجمالي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الخصوم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طويلة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الأجل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bidi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550,000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إجمالي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الخصوم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bidi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800,000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حقوق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الملكية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رأس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300,000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الأرباح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المحتجزة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100,000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إجمالي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حقوق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الملكية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bidi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400,000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إجمالي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الخصوم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وحقوق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الملكية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bidi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1,200,000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wmgpeqoajjt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شرح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النموذج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الأصول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المتداولة</w:t>
      </w:r>
      <w:r w:rsidDel="00000000" w:rsidR="00000000" w:rsidRPr="00000000">
        <w:rPr>
          <w:b w:val="1"/>
          <w:rtl w:val="1"/>
        </w:rPr>
        <w:t xml:space="preserve">:</w:t>
        <w:br w:type="textWrapping"/>
      </w:r>
      <w:r w:rsidDel="00000000" w:rsidR="00000000" w:rsidRPr="00000000">
        <w:rPr>
          <w:rtl w:val="1"/>
        </w:rPr>
        <w:t xml:space="preserve">تشمل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تحويلها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الحسابات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المدينة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والمخزون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الأصول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غير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المتداولة</w:t>
      </w:r>
      <w:r w:rsidDel="00000000" w:rsidR="00000000" w:rsidRPr="00000000">
        <w:rPr>
          <w:b w:val="1"/>
          <w:rtl w:val="1"/>
        </w:rPr>
        <w:t xml:space="preserve">:</w:t>
        <w:br w:type="textWrapping"/>
      </w:r>
      <w:r w:rsidDel="00000000" w:rsidR="00000000" w:rsidRPr="00000000">
        <w:rPr>
          <w:rtl w:val="1"/>
        </w:rPr>
        <w:t xml:space="preserve">تتضمن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الاستثمارات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العقارات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الآلات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والأصول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الملموسة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أطول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الخصوم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المتداولة</w:t>
      </w:r>
      <w:r w:rsidDel="00000000" w:rsidR="00000000" w:rsidRPr="00000000">
        <w:rPr>
          <w:b w:val="1"/>
          <w:rtl w:val="1"/>
        </w:rPr>
        <w:t xml:space="preserve">:</w:t>
        <w:br w:type="textWrapping"/>
      </w:r>
      <w:r w:rsidDel="00000000" w:rsidR="00000000" w:rsidRPr="00000000">
        <w:rPr>
          <w:rtl w:val="1"/>
        </w:rPr>
        <w:t xml:space="preserve">تمثل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الالتزامات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سدادها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القروض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قصيرة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والحسابات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الدائنة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الخصوم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طويلة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الأجل</w:t>
      </w:r>
      <w:r w:rsidDel="00000000" w:rsidR="00000000" w:rsidRPr="00000000">
        <w:rPr>
          <w:b w:val="1"/>
          <w:rtl w:val="1"/>
        </w:rPr>
        <w:t xml:space="preserve">:</w:t>
        <w:br w:type="textWrapping"/>
      </w:r>
      <w:r w:rsidDel="00000000" w:rsidR="00000000" w:rsidRPr="00000000">
        <w:rPr>
          <w:rtl w:val="1"/>
        </w:rPr>
        <w:t xml:space="preserve">تشمل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الالتزامات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تتجاوز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القروض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والسندات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حقوق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الملكية</w:t>
      </w:r>
      <w:r w:rsidDel="00000000" w:rsidR="00000000" w:rsidRPr="00000000">
        <w:rPr>
          <w:b w:val="1"/>
          <w:rtl w:val="1"/>
        </w:rPr>
        <w:t xml:space="preserve">:</w:t>
        <w:br w:type="textWrapping"/>
      </w:r>
      <w:r w:rsidDel="00000000" w:rsidR="00000000" w:rsidRPr="00000000">
        <w:rPr>
          <w:rtl w:val="1"/>
        </w:rPr>
        <w:t xml:space="preserve">تمثل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الاستثمار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بأصحاب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الالتزامات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والأرباح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المحتجزة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C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jqwq8jsdr98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التوازن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المالي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4D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rtl w:val="1"/>
        </w:rPr>
        <w:t xml:space="preserve">لاحظ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إجمالي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الأصول</w:t>
      </w:r>
      <w:r w:rsidDel="00000000" w:rsidR="00000000" w:rsidRPr="00000000">
        <w:rPr>
          <w:rtl w:val="1"/>
        </w:rPr>
        <w:t xml:space="preserve"> (1,200,000 </w:t>
      </w:r>
      <w:r w:rsidDel="00000000" w:rsidR="00000000" w:rsidRPr="00000000">
        <w:rPr>
          <w:rtl w:val="1"/>
        </w:rPr>
        <w:t xml:space="preserve">ريال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يساوي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إجمالي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الخصوم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وحقوق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الملكية</w:t>
      </w:r>
      <w:r w:rsidDel="00000000" w:rsidR="00000000" w:rsidRPr="00000000">
        <w:rPr>
          <w:rtl w:val="1"/>
        </w:rPr>
        <w:t xml:space="preserve"> (1,200,000 </w:t>
      </w:r>
      <w:r w:rsidDel="00000000" w:rsidR="00000000" w:rsidRPr="00000000">
        <w:rPr>
          <w:rtl w:val="1"/>
        </w:rPr>
        <w:t xml:space="preserve">ريال</w:t>
      </w:r>
      <w:r w:rsidDel="00000000" w:rsidR="00000000" w:rsidRPr="00000000">
        <w:rPr>
          <w:rtl w:val="1"/>
        </w:rPr>
        <w:t xml:space="preserve">)،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ظهر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بمعادلة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الميزانية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العمومية</w:t>
      </w:r>
      <w:r w:rsidDel="00000000" w:rsidR="00000000" w:rsidRPr="00000000">
        <w:rPr>
          <w:rtl w:val="1"/>
        </w:rPr>
        <w:t xml:space="preserve">:</w:t>
        <w:br w:type="textWrapping"/>
      </w:r>
      <w:r w:rsidDel="00000000" w:rsidR="00000000" w:rsidRPr="00000000">
        <w:rPr>
          <w:b w:val="1"/>
          <w:rtl w:val="1"/>
        </w:rPr>
        <w:t xml:space="preserve">الأصول</w:t>
      </w:r>
      <w:r w:rsidDel="00000000" w:rsidR="00000000" w:rsidRPr="00000000">
        <w:rPr>
          <w:b w:val="1"/>
          <w:rtl w:val="1"/>
        </w:rPr>
        <w:t xml:space="preserve"> = </w:t>
      </w:r>
      <w:r w:rsidDel="00000000" w:rsidR="00000000" w:rsidRPr="00000000">
        <w:rPr>
          <w:b w:val="1"/>
          <w:rtl w:val="1"/>
        </w:rPr>
        <w:t xml:space="preserve">الخصوم</w:t>
      </w:r>
      <w:r w:rsidDel="00000000" w:rsidR="00000000" w:rsidRPr="00000000">
        <w:rPr>
          <w:b w:val="1"/>
          <w:rtl w:val="1"/>
        </w:rPr>
        <w:t xml:space="preserve"> + </w:t>
      </w:r>
      <w:r w:rsidDel="00000000" w:rsidR="00000000" w:rsidRPr="00000000">
        <w:rPr>
          <w:b w:val="1"/>
          <w:rtl w:val="1"/>
        </w:rPr>
        <w:t xml:space="preserve">حقوق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الملكية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4E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النموذج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كنموذج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لإعداد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الميزانية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العمومية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مؤسسة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إدخال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التعديلات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اللازمة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احتياجات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F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